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after="120" w:before="0"/>
        <w:jc w:val="center"/>
      </w:pPr>
      <w:r>
        <w:rPr>
          <w:rFonts w:ascii="Times New Roman" w:hAnsi="Times New Roman" w:cs="Times New Roman" w:eastAsia="Times New Roman"/>
          <w:sz w:val="24"/>
          <w:b w:val="on"/>
          <w:i w:val="off"/>
          <w:strike w:val="off"/>
        </w:rPr>
        <w:t>ЛИСТ СОГЛАСОВАНИЯ ЗАКУПКИ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103"/>
          <w:left w:type="dxa" w:w="103"/>
          <w:bottom w:type="dxa" w:w="103"/>
          <w:right w:type="dxa" w:w="103"/>
        </w:tblCellMar>
      </w:tblPr>
      <w:tblPr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rPr>
          <w:cantSplit w:val="on"/>
        </w:trPr>
        <w:tc>
          <w:tcPr>
            <w:tcW w:type="pct" w:w="80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</w:rPr>
              <w:t>Наименование объекта закупки</w:t>
            </w:r>
          </w:p>
        </w:tc>
        <w:tc>
          <w:tcPr>
            <w:tcW w:type="pct" w:w="100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</w:rPr>
              <w:t>Поставка расходных материалов для автоматического коагулометра «Technology Solution 400» лот 1</w:t>
            </w:r>
          </w:p>
        </w:tc>
      </w:tr>
      <w:tr>
        <w:trPr>
          <w:cantSplit w:val="on"/>
        </w:trPr>
        <w:tc>
          <w:tcPr>
            <w:tcW w:type="pct" w:w="80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</w:rPr>
              <w:t>Начальная (максимальная) цена контракта</w:t>
            </w:r>
          </w:p>
        </w:tc>
        <w:tc>
          <w:tcPr>
            <w:tcW w:type="pct" w:w="100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</w:rPr>
              <w:t>838 948,00 руб.</w:t>
            </w:r>
          </w:p>
        </w:tc>
      </w:tr>
      <w:tr>
        <w:trPr>
          <w:cantSplit w:val="on"/>
        </w:trPr>
        <w:tc>
          <w:tcPr>
            <w:tcW w:type="pct" w:w="80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</w:rPr>
              <w:t>Способ определения поставщика (подрядчика, исполнителя)</w:t>
            </w:r>
          </w:p>
        </w:tc>
        <w:tc>
          <w:tcPr>
            <w:tcW w:type="pct" w:w="100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</w:rPr>
              <w:t>Открытый аукцион в электронной форме</w:t>
            </w:r>
          </w:p>
        </w:tc>
      </w:tr>
      <w:tr>
        <w:trPr>
          <w:cantSplit w:val="on"/>
        </w:trPr>
        <w:tc>
          <w:tcPr>
            <w:tcW w:type="pct" w:w="80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</w:rPr>
              <w:t>Реестровый номер закупки в РИС</w:t>
            </w:r>
          </w:p>
        </w:tc>
        <w:tc>
          <w:tcPr>
            <w:tcW w:type="pct" w:w="100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</w:rPr>
              <w:t>5632311</w:t>
            </w:r>
          </w:p>
        </w:tc>
      </w:tr>
      <w:tr>
        <w:trPr>
          <w:cantSplit w:val="on"/>
        </w:trPr>
        <w:tc>
          <w:tcPr>
            <w:tcW w:type="pct" w:w="80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</w:rPr>
              <w:t>Заказчик</w:t>
            </w:r>
          </w:p>
        </w:tc>
        <w:tc>
          <w:tcPr>
            <w:tcW w:type="pct" w:w="100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</w:rPr>
              <w:t>Государственное бюджетное учреждение здравоохранения Пермского края "Городская клиническая больница им. М.А. Тверье"</w:t>
            </w:r>
          </w:p>
        </w:tc>
      </w:tr>
      <w:tr>
        <w:trPr>
          <w:cantSplit w:val="on"/>
        </w:trPr>
        <w:tc>
          <w:tcPr>
            <w:tcW w:type="pct" w:w="80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</w:rPr>
              <w:t>Публично-правовое образование</w:t>
            </w:r>
          </w:p>
        </w:tc>
        <w:tc>
          <w:tcPr>
            <w:tcW w:type="pct" w:w="100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</w:rPr>
              <w:t>—</w:t>
            </w:r>
          </w:p>
        </w:tc>
      </w:tr>
    </w:tbl>
    <w:p>
      <w:pPr>
        <w:spacing w:after="0" w:before="0"/>
      </w:pPr>
    </w:p>
    <w:p>
      <w:pPr>
        <w:spacing w:after="0" w:before="0"/>
        <w:jc w:val="left"/>
      </w:pPr>
      <w:r>
        <w:rPr>
          <w:rFonts w:ascii="Times New Roman" w:hAnsi="Times New Roman" w:cs="Times New Roman" w:eastAsia="Times New Roman"/>
          <w:sz w:val="24"/>
          <w:b w:val="on"/>
          <w:i w:val="off"/>
          <w:strike w:val="off"/>
        </w:rPr>
        <w:t>СОГЛАСОВАНО:</w:t>
      </w:r>
    </w:p>
    <w:p>
      <w:pPr>
        <w:spacing w:after="0" w:before="0"/>
      </w:pP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103"/>
          <w:left w:type="dxa" w:w="103"/>
          <w:bottom w:type="dxa" w:w="103"/>
          <w:right w:type="dxa" w:w="103"/>
        </w:tblCellMar>
      </w:tblPr>
      <w:tblPr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rPr>
          <w:cantSplit w:val="on"/>
        </w:trPr>
        <w:tc>
          <w:tcPr>
            <w:tcW w:type="pct" w:w="30"/>
            <w:vAlign w:val="center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n"/>
                <w:i w:val="off"/>
                <w:strike w:val="off"/>
              </w:rPr>
              <w:t>Дата согласования</w:t>
            </w:r>
          </w:p>
        </w:tc>
        <w:tc>
          <w:tcPr>
            <w:tcW w:type="pct" w:w="100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</w:rPr>
              <w:t/>
            </w:r>
          </w:p>
        </w:tc>
      </w:tr>
      <w:tr>
        <w:trPr>
          <w:cantSplit w:val="on"/>
        </w:trPr>
        <w:tc>
          <w:tcPr>
            <w:tcW w:type="pct" w:w="30"/>
            <w:vAlign w:val="center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n"/>
                <w:i w:val="off"/>
                <w:strike w:val="off"/>
              </w:rPr>
              <w:t>ФИО</w:t>
            </w:r>
          </w:p>
        </w:tc>
        <w:tc>
          <w:tcPr>
            <w:tcW w:type="pct" w:w="100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</w:rPr>
              <w:t>Суханов Михаил Сергеевич</w:t>
            </w:r>
          </w:p>
        </w:tc>
      </w:tr>
      <w:tr>
        <w:trPr>
          <w:cantSplit w:val="on"/>
        </w:trPr>
        <w:tc>
          <w:tcPr>
            <w:tcW w:type="pct" w:w="30"/>
            <w:vAlign w:val="center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n"/>
                <w:i w:val="off"/>
                <w:strike w:val="off"/>
              </w:rPr>
              <w:t>Должность</w:t>
            </w:r>
          </w:p>
        </w:tc>
        <w:tc>
          <w:tcPr>
            <w:tcW w:type="pct" w:w="100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</w:rPr>
              <w:t>Главный врач</w:t>
            </w:r>
          </w:p>
        </w:tc>
      </w:tr>
      <w:tr>
        <w:trPr>
          <w:cantSplit w:val="on"/>
        </w:trPr>
        <w:tc>
          <w:tcPr>
            <w:tcW w:type="pct" w:w="30"/>
            <w:vAlign w:val="center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n"/>
                <w:i w:val="off"/>
                <w:strike w:val="off"/>
              </w:rPr>
              <w:t>Организация</w:t>
            </w:r>
          </w:p>
        </w:tc>
        <w:tc>
          <w:tcPr>
            <w:tcW w:type="pct" w:w="100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</w:rPr>
              <w:t>Государственное бюджетное учреждение здравоохранения Пермского края "Городская клиническая больница им. М.А. Тверье"</w:t>
            </w:r>
          </w:p>
        </w:tc>
      </w:tr>
      <w:tr>
        <w:trPr>
          <w:cantSplit w:val="on"/>
        </w:trPr>
        <w:tc>
          <w:tcPr>
            <w:tcW w:type="pct" w:w="30"/>
            <w:vAlign w:val="center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n"/>
                <w:i w:val="off"/>
                <w:strike w:val="off"/>
              </w:rPr>
              <w:t>Подпись</w:t>
            </w:r>
          </w:p>
        </w:tc>
        <w:tc>
          <w:tcPr>
            <w:tcW w:type="pct" w:w="100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</w:rPr>
              <w:t/>
            </w:r>
          </w:p>
        </w:tc>
      </w:tr>
    </w:tbl>
    <w:sectPr>
      <w:pgSz w:orient="portrait" w:h="16840" w:w="11900"/>
      <w:pgMar w:left="1703" w:right="852" w:top="852" w:bottom="852"/>
    </w:sectPr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2025-09-23T14:37:13Z</dcterms:created>
  <dc:creator>Apache POI</dc:creator>
</cp:coreProperties>
</file>